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6A42" w14:textId="77777777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53543DC8" w:rsidR="007F5CB2" w:rsidRDefault="002A46AF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 w:rsidRPr="00121B80">
        <w:rPr>
          <w:rFonts w:eastAsia="Calibri" w:cs="Segoe UI"/>
          <w:caps/>
          <w:color w:val="00529F"/>
          <w:sz w:val="36"/>
          <w:szCs w:val="28"/>
          <w:lang w:eastAsia="en-US"/>
        </w:rPr>
        <w:t>Analýza souladu projektu s pravidly pro poskytování veřejné podpory</w:t>
      </w:r>
    </w:p>
    <w:p w14:paraId="10C6C199" w14:textId="77777777" w:rsidR="00BF36C7" w:rsidRDefault="00BF36C7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242784BA" w14:textId="0E5CB16A" w:rsidR="0023174D" w:rsidRPr="00BF36C7" w:rsidRDefault="0023174D" w:rsidP="002A46AF">
      <w:pPr>
        <w:jc w:val="left"/>
        <w:rPr>
          <w:rFonts w:eastAsia="Calibri" w:cs="Segoe UI"/>
          <w:b/>
          <w:bCs/>
          <w:caps/>
          <w:color w:val="00529F"/>
          <w:sz w:val="36"/>
          <w:szCs w:val="28"/>
          <w:lang w:eastAsia="en-US"/>
        </w:rPr>
      </w:pPr>
      <w:r w:rsidRPr="00BF36C7">
        <w:rPr>
          <w:rFonts w:eastAsia="Calibri" w:cs="Segoe UI"/>
          <w:b/>
          <w:bCs/>
          <w:caps/>
          <w:color w:val="00529F"/>
          <w:sz w:val="36"/>
          <w:szCs w:val="28"/>
          <w:lang w:eastAsia="en-US"/>
        </w:rPr>
        <w:t>Program HEAT</w:t>
      </w:r>
    </w:p>
    <w:p w14:paraId="61D309E1" w14:textId="00A18CA4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7A1A3207" w14:textId="2A4BB7D9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35D8D9D2" w14:textId="5B292CE5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55AC44B3" w14:textId="4CD47C5D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0EB3E6DC" w14:textId="26AC4F0E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3B618A5A" w14:textId="2805765D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749A9530" w14:textId="695A569C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49B98865" w14:textId="6DB26FD8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7179938C" w14:textId="77777777" w:rsidR="00AB4745" w:rsidRDefault="00AB4745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</w:p>
    <w:p w14:paraId="0553D412" w14:textId="34D3E29E" w:rsidR="00AB4745" w:rsidRPr="00AB4745" w:rsidRDefault="00AB4745" w:rsidP="002A46AF">
      <w:pPr>
        <w:jc w:val="left"/>
        <w:rPr>
          <w:rFonts w:cs="Segoe UI"/>
          <w:i/>
          <w:iCs/>
        </w:rPr>
      </w:pPr>
      <w:r w:rsidRPr="00BF36C7">
        <w:rPr>
          <w:rFonts w:eastAsia="Calibri" w:cs="Segoe UI"/>
          <w:i/>
          <w:iCs/>
          <w:color w:val="00529F"/>
          <w:lang w:eastAsia="en-US"/>
        </w:rPr>
        <w:t xml:space="preserve">platnost od </w:t>
      </w:r>
      <w:r w:rsidR="00BF36C7" w:rsidRPr="00BF36C7">
        <w:rPr>
          <w:rFonts w:eastAsia="Calibri" w:cs="Segoe UI"/>
          <w:i/>
          <w:iCs/>
          <w:color w:val="00529F"/>
          <w:lang w:eastAsia="en-US"/>
        </w:rPr>
        <w:t>13. června 2024</w:t>
      </w:r>
    </w:p>
    <w:p w14:paraId="141B1F6E" w14:textId="7777777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</w:p>
    <w:p w14:paraId="6F9180BF" w14:textId="77777777" w:rsidR="00250806" w:rsidRPr="00121B80" w:rsidRDefault="002A46AF" w:rsidP="007F5CB2">
      <w:pPr>
        <w:pStyle w:val="Podtitul11"/>
      </w:pPr>
      <w:r w:rsidRPr="00121B80">
        <w:lastRenderedPageBreak/>
        <w:t>ÚVOD</w:t>
      </w:r>
      <w:bookmarkEnd w:id="0"/>
      <w:bookmarkEnd w:id="1"/>
      <w:bookmarkEnd w:id="2"/>
      <w:r w:rsidR="00250806" w:rsidRPr="00121B80">
        <w:t xml:space="preserve"> </w:t>
      </w:r>
    </w:p>
    <w:p w14:paraId="6E3ACE81" w14:textId="0F6BF74D" w:rsidR="0023174D" w:rsidRDefault="00B17421" w:rsidP="00B17421">
      <w:pPr>
        <w:rPr>
          <w:rFonts w:cs="Segoe UI"/>
        </w:rPr>
      </w:pPr>
      <w:bookmarkStart w:id="3" w:name="_Toc252890810"/>
      <w:r w:rsidRPr="00B17421">
        <w:rPr>
          <w:rFonts w:cs="Segoe UI"/>
        </w:rPr>
        <w:t>V</w:t>
      </w:r>
      <w:r w:rsidR="0023174D">
        <w:rPr>
          <w:rFonts w:cs="Segoe UI"/>
        </w:rPr>
        <w:t> </w:t>
      </w:r>
      <w:r w:rsidRPr="00B17421">
        <w:rPr>
          <w:rFonts w:cs="Segoe UI"/>
        </w:rPr>
        <w:t>rámci</w:t>
      </w:r>
      <w:r w:rsidR="0023174D">
        <w:rPr>
          <w:rFonts w:cs="Segoe UI"/>
        </w:rPr>
        <w:t xml:space="preserve"> programu HEAT</w:t>
      </w:r>
      <w:r w:rsidRPr="00B17421">
        <w:rPr>
          <w:rFonts w:cs="Segoe UI"/>
        </w:rPr>
        <w:t xml:space="preserve"> Modernizačního fondu bude poskytována podpora podle</w:t>
      </w:r>
      <w:r w:rsidR="0023174D">
        <w:rPr>
          <w:rFonts w:cs="Segoe UI"/>
        </w:rPr>
        <w:t xml:space="preserve"> následujících předpisů:</w:t>
      </w:r>
    </w:p>
    <w:p w14:paraId="326EEE58" w14:textId="255C6DFD" w:rsidR="00B17421" w:rsidRPr="0023174D" w:rsidRDefault="0023174D" w:rsidP="00BF36C7">
      <w:pPr>
        <w:pStyle w:val="Odstavecseseznamem"/>
        <w:numPr>
          <w:ilvl w:val="0"/>
          <w:numId w:val="16"/>
        </w:numPr>
        <w:ind w:left="709"/>
        <w:rPr>
          <w:rFonts w:cs="Segoe UI"/>
        </w:rPr>
      </w:pPr>
      <w:r w:rsidRPr="0023174D">
        <w:rPr>
          <w:rFonts w:cs="Segoe UI"/>
        </w:rPr>
        <w:t>N</w:t>
      </w:r>
      <w:r w:rsidR="00B17421" w:rsidRPr="0023174D">
        <w:rPr>
          <w:rFonts w:cs="Segoe UI"/>
        </w:rPr>
        <w:t>ařízení Komise (EU) č. 651/2014 ze dne 17. června 2014, kterým se v souladu s články 107 a 108 Smlouvy prohlašují určité kategorie podpory za slučitelné s vnitřním trhem (dále jen „nařízení GBER“)</w:t>
      </w:r>
      <w:r w:rsidRPr="0023174D">
        <w:rPr>
          <w:rFonts w:cs="Segoe UI"/>
        </w:rPr>
        <w:t>, článek 46</w:t>
      </w:r>
      <w:r w:rsidR="00B17421" w:rsidRPr="0023174D">
        <w:rPr>
          <w:rFonts w:cs="Segoe UI"/>
        </w:rPr>
        <w:t>. sekce „Investiční podpora na ochranu životního prostředí.“ V rámci programu, projektu i subjektu žadatele musí být splněny všechny obecné i specifické podmínky GBER.</w:t>
      </w:r>
    </w:p>
    <w:p w14:paraId="7F323077" w14:textId="44775CCB" w:rsidR="0023174D" w:rsidRPr="00B836BD" w:rsidRDefault="00E75FD2" w:rsidP="00BF36C7">
      <w:pPr>
        <w:pStyle w:val="Odstavecseseznamem"/>
        <w:numPr>
          <w:ilvl w:val="0"/>
          <w:numId w:val="16"/>
        </w:numPr>
        <w:ind w:left="709"/>
        <w:rPr>
          <w:rFonts w:cs="Segoe UI"/>
        </w:rPr>
      </w:pPr>
      <w:bookmarkStart w:id="4" w:name="_Hlk167974534"/>
      <w:r w:rsidRPr="00B836BD">
        <w:rPr>
          <w:rFonts w:cs="Segoe UI"/>
        </w:rPr>
        <w:t>Pokyny pro státní podporu v oblasti klimatu, životního prostředí a energetiky na rok</w:t>
      </w:r>
      <w:r w:rsidR="00B836BD">
        <w:rPr>
          <w:rFonts w:cs="Segoe UI"/>
        </w:rPr>
        <w:t xml:space="preserve"> </w:t>
      </w:r>
      <w:r w:rsidRPr="00B836BD">
        <w:rPr>
          <w:rFonts w:cs="Segoe UI"/>
        </w:rPr>
        <w:t xml:space="preserve">2022, (2022/C 80/01) - CEEAG, program HEAT pro </w:t>
      </w:r>
      <w:r w:rsidR="00BF36C7">
        <w:rPr>
          <w:rFonts w:cs="Segoe UI"/>
        </w:rPr>
        <w:t xml:space="preserve">projekty, </w:t>
      </w:r>
      <w:r w:rsidR="00BF36C7" w:rsidRPr="00BF36C7">
        <w:rPr>
          <w:rFonts w:cs="Segoe UI"/>
        </w:rPr>
        <w:t>které přesahují limit oznamovací povinnosti</w:t>
      </w:r>
      <w:r w:rsidR="0023174D" w:rsidRPr="00B836BD">
        <w:rPr>
          <w:rFonts w:cs="Segoe UI"/>
        </w:rPr>
        <w:t xml:space="preserve">, sekce 4.10, notifikované schéma </w:t>
      </w:r>
      <w:r w:rsidRPr="00B836BD">
        <w:rPr>
          <w:rFonts w:cs="Segoe UI"/>
        </w:rPr>
        <w:t>SA.103821</w:t>
      </w:r>
      <w:r w:rsidR="00B836BD">
        <w:rPr>
          <w:rFonts w:cs="Segoe UI"/>
        </w:rPr>
        <w:t>. V rámci projektu musí být splněny všechny podmínky stanovené tímto schématem.</w:t>
      </w:r>
    </w:p>
    <w:bookmarkEnd w:id="4"/>
    <w:p w14:paraId="6CDBBE95" w14:textId="77777777" w:rsidR="002A46AF" w:rsidRPr="00121B80" w:rsidRDefault="002A46AF" w:rsidP="002A46AF">
      <w:pPr>
        <w:rPr>
          <w:rFonts w:cs="Segoe UI"/>
        </w:rPr>
      </w:pPr>
    </w:p>
    <w:p w14:paraId="62AD69A9" w14:textId="70250442" w:rsidR="002A46AF" w:rsidRPr="00121B80" w:rsidRDefault="0023174D" w:rsidP="002A46AF">
      <w:pPr>
        <w:pStyle w:val="Podtitul11"/>
        <w:tabs>
          <w:tab w:val="clear" w:pos="567"/>
        </w:tabs>
        <w:ind w:left="709" w:hanging="709"/>
      </w:pPr>
      <w:r>
        <w:t xml:space="preserve">Podmínky pro podporu </w:t>
      </w:r>
      <w:r w:rsidR="002052EC">
        <w:t>podle GBER</w:t>
      </w:r>
    </w:p>
    <w:p w14:paraId="31BB662A" w14:textId="359636A0" w:rsidR="002A46AF" w:rsidRDefault="002052EC" w:rsidP="002A46AF">
      <w:pPr>
        <w:rPr>
          <w:rFonts w:cs="Segoe UI"/>
          <w:b/>
        </w:rPr>
      </w:pPr>
      <w:r>
        <w:rPr>
          <w:rFonts w:cs="Segoe UI"/>
          <w:b/>
        </w:rPr>
        <w:t xml:space="preserve">Podpora podle článku 46 je určena pro projekty, u nichž výsledná dotace ze způsobilých výdajů </w:t>
      </w:r>
      <w:r w:rsidR="005D001C">
        <w:rPr>
          <w:rFonts w:cs="Segoe UI"/>
          <w:b/>
        </w:rPr>
        <w:t xml:space="preserve">na </w:t>
      </w:r>
      <w:r>
        <w:rPr>
          <w:rFonts w:cs="Segoe UI"/>
          <w:b/>
        </w:rPr>
        <w:t>projekt nepře</w:t>
      </w:r>
      <w:r w:rsidR="00BF36C7">
        <w:rPr>
          <w:rFonts w:cs="Segoe UI"/>
          <w:b/>
        </w:rPr>
        <w:t>sáhne</w:t>
      </w:r>
      <w:r>
        <w:rPr>
          <w:rFonts w:cs="Segoe UI"/>
          <w:b/>
        </w:rPr>
        <w:t xml:space="preserve"> 50 mil euro. Podpora je určena na projekty zdrojů nebo rozvodů v rámci soustav, které jsou nebo se v důsledku realizace stanou účinnými soustavami.</w:t>
      </w:r>
    </w:p>
    <w:p w14:paraId="79D65CEC" w14:textId="482903E3" w:rsidR="002052EC" w:rsidRDefault="002052EC" w:rsidP="002A46AF">
      <w:pPr>
        <w:rPr>
          <w:rFonts w:cs="Segoe UI"/>
          <w:b/>
        </w:rPr>
      </w:pPr>
      <w:r>
        <w:rPr>
          <w:rFonts w:cs="Segoe UI"/>
          <w:b/>
        </w:rPr>
        <w:t>Podpora může být poskytnuta v následující intenzitě: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268"/>
        <w:gridCol w:w="2268"/>
      </w:tblGrid>
      <w:tr w:rsidR="002052EC" w:rsidRPr="00716A6F" w14:paraId="3CC7462A" w14:textId="77777777" w:rsidTr="00BF36C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220E" w14:textId="31F7FBE1" w:rsidR="002052EC" w:rsidRPr="00716A6F" w:rsidRDefault="00DE1E01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bookmarkStart w:id="5" w:name="_Hlk167973979"/>
            <w:r>
              <w:rPr>
                <w:rFonts w:cs="Segoe UI"/>
                <w:bCs/>
                <w:sz w:val="18"/>
                <w:szCs w:val="18"/>
              </w:rPr>
              <w:t>Zaměření (dle čl. 46 GBER)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3014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v Praze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438F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pro regiony dle čl. 107 odst. 3 písm. a) Smlouvy o fungování EU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AC0E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pro regiony dle čl. 107 odst. 3 písm.  c) Smlouvy o fungování EU</w:t>
            </w:r>
            <w:r w:rsidRPr="00716A6F">
              <w:rPr>
                <w:rStyle w:val="Znakapoznpodarou"/>
                <w:rFonts w:cs="Segoe UI"/>
                <w:bCs/>
                <w:sz w:val="18"/>
                <w:szCs w:val="18"/>
              </w:rPr>
              <w:t xml:space="preserve"> </w:t>
            </w:r>
          </w:p>
        </w:tc>
      </w:tr>
      <w:tr w:rsidR="00DE1E01" w:rsidRPr="00716A6F" w14:paraId="503B854F" w14:textId="77777777" w:rsidTr="00BF36C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921F" w14:textId="7D1C9E3B" w:rsidR="00DE1E01" w:rsidRPr="00716A6F" w:rsidRDefault="00DE1E01" w:rsidP="00DE1E01">
            <w:pPr>
              <w:spacing w:before="12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OZE</w:t>
            </w:r>
            <w:r w:rsidR="00BF36C7">
              <w:rPr>
                <w:rFonts w:cs="Segoe UI"/>
                <w:bCs/>
                <w:sz w:val="18"/>
                <w:szCs w:val="18"/>
              </w:rPr>
              <w:t xml:space="preserve">, </w:t>
            </w:r>
            <w:r>
              <w:rPr>
                <w:rFonts w:cs="Segoe UI"/>
                <w:bCs/>
                <w:sz w:val="18"/>
                <w:szCs w:val="18"/>
              </w:rPr>
              <w:t>kogenerace</w:t>
            </w:r>
            <w:r w:rsidR="00B836BD">
              <w:rPr>
                <w:rFonts w:cs="Segoe UI"/>
                <w:bCs/>
                <w:sz w:val="18"/>
                <w:szCs w:val="18"/>
              </w:rPr>
              <w:t xml:space="preserve"> z</w:t>
            </w:r>
            <w:r>
              <w:rPr>
                <w:rFonts w:cs="Segoe UI"/>
                <w:bCs/>
                <w:sz w:val="18"/>
                <w:szCs w:val="18"/>
              </w:rPr>
              <w:t xml:space="preserve"> OZE, odpadní teplo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5309" w14:textId="01590DA5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45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592C64BF" w14:textId="59B12A3A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 xml:space="preserve">střední podnik 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>+10 %</w:t>
            </w:r>
          </w:p>
          <w:p w14:paraId="5981996F" w14:textId="53435D5D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>+20 %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A792" w14:textId="77777777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45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589A8FFD" w14:textId="6D960689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 xml:space="preserve">střední podnik 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>+10 %</w:t>
            </w:r>
          </w:p>
          <w:p w14:paraId="5BE81FEC" w14:textId="32793C4D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+20 %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39E2" w14:textId="77777777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45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23A080E0" w14:textId="75F72A19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 xml:space="preserve">střední podnik 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>+10 %</w:t>
            </w:r>
          </w:p>
          <w:p w14:paraId="731D9073" w14:textId="332B939C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+20 %</w:t>
            </w:r>
          </w:p>
        </w:tc>
      </w:tr>
      <w:bookmarkEnd w:id="5"/>
    </w:tbl>
    <w:p w14:paraId="3789E2F6" w14:textId="77777777" w:rsidR="002052EC" w:rsidRDefault="002052EC" w:rsidP="002A46AF">
      <w:pPr>
        <w:rPr>
          <w:rFonts w:cs="Segoe UI"/>
          <w:b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268"/>
        <w:gridCol w:w="2268"/>
      </w:tblGrid>
      <w:tr w:rsidR="002052EC" w:rsidRPr="00716A6F" w14:paraId="35F2E7C8" w14:textId="77777777" w:rsidTr="00BF36C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C3DF" w14:textId="6C4746D2" w:rsidR="002052EC" w:rsidRPr="00716A6F" w:rsidRDefault="00DE1E01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bookmarkStart w:id="6" w:name="_Hlk167974002"/>
            <w:r>
              <w:rPr>
                <w:rFonts w:cs="Segoe UI"/>
                <w:bCs/>
                <w:sz w:val="18"/>
                <w:szCs w:val="18"/>
              </w:rPr>
              <w:t>Zaměření (dle čl. 46 GBER)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FEA2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v Praze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3E4E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pro regiony dle čl. 107 odst. 3 písm. a) Smlouvy o fungování EU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0BAD" w14:textId="77777777" w:rsidR="002052EC" w:rsidRPr="00716A6F" w:rsidRDefault="002052EC" w:rsidP="00575ACB">
            <w:pPr>
              <w:spacing w:line="276" w:lineRule="auto"/>
              <w:rPr>
                <w:rFonts w:cs="Segoe UI"/>
                <w:bCs/>
                <w:sz w:val="18"/>
                <w:szCs w:val="18"/>
              </w:rPr>
            </w:pPr>
            <w:r w:rsidRPr="00716A6F">
              <w:rPr>
                <w:rFonts w:cs="Segoe UI"/>
                <w:bCs/>
                <w:sz w:val="18"/>
                <w:szCs w:val="18"/>
              </w:rPr>
              <w:t>Max VP pro regiony dle čl. 107 odst. 3 písm.  c) Smlouvy o fungování EU</w:t>
            </w:r>
            <w:r w:rsidRPr="00716A6F">
              <w:rPr>
                <w:rStyle w:val="Znakapoznpodarou"/>
                <w:rFonts w:cs="Segoe UI"/>
                <w:bCs/>
                <w:sz w:val="18"/>
                <w:szCs w:val="18"/>
              </w:rPr>
              <w:t xml:space="preserve"> </w:t>
            </w:r>
          </w:p>
        </w:tc>
      </w:tr>
      <w:tr w:rsidR="00DE1E01" w:rsidRPr="00716A6F" w14:paraId="53AB235F" w14:textId="77777777" w:rsidTr="00BF36C7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A7C4" w14:textId="3FEB7BB5" w:rsidR="00DE1E01" w:rsidRPr="00716A6F" w:rsidRDefault="00BF36C7" w:rsidP="00DE1E01">
            <w:pPr>
              <w:spacing w:before="12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k</w:t>
            </w:r>
            <w:r w:rsidR="00DE1E01">
              <w:rPr>
                <w:rFonts w:cs="Segoe UI"/>
                <w:bCs/>
                <w:sz w:val="18"/>
                <w:szCs w:val="18"/>
              </w:rPr>
              <w:t>ogenerace</w:t>
            </w:r>
            <w:r w:rsidR="003C07A4">
              <w:rPr>
                <w:rFonts w:cs="Segoe UI"/>
                <w:bCs/>
                <w:sz w:val="18"/>
                <w:szCs w:val="18"/>
              </w:rPr>
              <w:t xml:space="preserve"> s</w:t>
            </w:r>
            <w:r w:rsidR="00DE1E01">
              <w:rPr>
                <w:rFonts w:cs="Segoe UI"/>
                <w:bCs/>
                <w:sz w:val="18"/>
                <w:szCs w:val="18"/>
              </w:rPr>
              <w:t xml:space="preserve"> </w:t>
            </w:r>
            <w:r w:rsidR="00B836BD">
              <w:rPr>
                <w:rFonts w:cs="Segoe UI"/>
                <w:bCs/>
                <w:sz w:val="18"/>
                <w:szCs w:val="18"/>
              </w:rPr>
              <w:t xml:space="preserve">využitím jiného paliva </w:t>
            </w:r>
            <w:r w:rsidR="00DE1E01">
              <w:rPr>
                <w:rFonts w:cs="Segoe UI"/>
                <w:bCs/>
                <w:sz w:val="18"/>
                <w:szCs w:val="18"/>
              </w:rPr>
              <w:t>než OZE</w:t>
            </w:r>
            <w:r w:rsidR="00DE1E01" w:rsidRPr="00716A6F">
              <w:rPr>
                <w:rFonts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92010" w14:textId="77777777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30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1EE65FA3" w14:textId="5AB7A8E3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>střední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+10 %</w:t>
            </w:r>
          </w:p>
          <w:p w14:paraId="5ADAE850" w14:textId="02755229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+20 %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65F7" w14:textId="77777777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30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392B9EE8" w14:textId="77BEDBC4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>střední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+10 %</w:t>
            </w:r>
          </w:p>
          <w:p w14:paraId="1B0F244D" w14:textId="2EB0D286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+20 %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60A8" w14:textId="77777777" w:rsid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8"/>
                <w:szCs w:val="18"/>
              </w:rPr>
              <w:t>30</w:t>
            </w:r>
            <w:r w:rsidRPr="00716A6F">
              <w:rPr>
                <w:rFonts w:cs="Segoe UI"/>
                <w:bCs/>
                <w:sz w:val="18"/>
                <w:szCs w:val="18"/>
              </w:rPr>
              <w:t xml:space="preserve"> % </w:t>
            </w:r>
          </w:p>
          <w:p w14:paraId="4377D856" w14:textId="3ACE7D8D" w:rsidR="00DE1E01" w:rsidRPr="00DE1E01" w:rsidRDefault="00DE1E01" w:rsidP="00DE1E01">
            <w:pPr>
              <w:spacing w:before="120" w:after="0" w:line="276" w:lineRule="auto"/>
              <w:jc w:val="left"/>
              <w:rPr>
                <w:rFonts w:cs="Segoe UI"/>
                <w:bCs/>
                <w:sz w:val="16"/>
                <w:szCs w:val="16"/>
              </w:rPr>
            </w:pPr>
            <w:r w:rsidRPr="00DE1E01">
              <w:rPr>
                <w:rFonts w:cs="Segoe UI"/>
                <w:bCs/>
                <w:sz w:val="16"/>
                <w:szCs w:val="16"/>
              </w:rPr>
              <w:t>střední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+10 %</w:t>
            </w:r>
          </w:p>
          <w:p w14:paraId="2EF04C48" w14:textId="349083B6" w:rsidR="00DE1E01" w:rsidRPr="00716A6F" w:rsidRDefault="00DE1E01" w:rsidP="00DE1E01">
            <w:pPr>
              <w:spacing w:after="0" w:line="276" w:lineRule="auto"/>
              <w:jc w:val="left"/>
              <w:rPr>
                <w:rFonts w:cs="Segoe UI"/>
                <w:bCs/>
                <w:sz w:val="18"/>
                <w:szCs w:val="18"/>
              </w:rPr>
            </w:pPr>
            <w:r>
              <w:rPr>
                <w:rFonts w:cs="Segoe UI"/>
                <w:bCs/>
                <w:sz w:val="16"/>
                <w:szCs w:val="16"/>
              </w:rPr>
              <w:t>malý podnik</w:t>
            </w:r>
            <w:r w:rsidR="004E33BF">
              <w:rPr>
                <w:rFonts w:cs="Segoe UI"/>
                <w:bCs/>
                <w:sz w:val="16"/>
                <w:szCs w:val="16"/>
              </w:rPr>
              <w:t xml:space="preserve"> </w:t>
            </w:r>
            <w:r w:rsidR="004E33BF">
              <w:rPr>
                <w:rFonts w:cs="Segoe UI"/>
                <w:bCs/>
                <w:szCs w:val="16"/>
              </w:rPr>
              <w:t xml:space="preserve">    </w:t>
            </w:r>
            <w:r w:rsidRPr="00DE1E01">
              <w:rPr>
                <w:rFonts w:cs="Segoe UI"/>
                <w:bCs/>
                <w:sz w:val="16"/>
                <w:szCs w:val="16"/>
              </w:rPr>
              <w:t xml:space="preserve"> +20 %</w:t>
            </w:r>
          </w:p>
        </w:tc>
      </w:tr>
      <w:bookmarkEnd w:id="6"/>
    </w:tbl>
    <w:p w14:paraId="502D7E10" w14:textId="77777777" w:rsidR="002052EC" w:rsidRPr="00121B80" w:rsidRDefault="002052EC" w:rsidP="002A46AF">
      <w:pPr>
        <w:rPr>
          <w:rFonts w:cs="Segoe UI"/>
          <w:b/>
        </w:rPr>
      </w:pPr>
    </w:p>
    <w:p w14:paraId="66899BEE" w14:textId="5EC72D57" w:rsidR="002A46AF" w:rsidRPr="00121B80" w:rsidRDefault="002052EC" w:rsidP="00B17421">
      <w:pPr>
        <w:pStyle w:val="Podtitul11"/>
        <w:spacing w:after="120"/>
      </w:pPr>
      <w:r>
        <w:lastRenderedPageBreak/>
        <w:t>Podpora podle CEEAG</w:t>
      </w:r>
    </w:p>
    <w:p w14:paraId="6CFDE035" w14:textId="77777777" w:rsidR="00B17421" w:rsidRDefault="00B17421" w:rsidP="00B17421">
      <w:pPr>
        <w:spacing w:after="0"/>
        <w:rPr>
          <w:rFonts w:cs="Segoe UI"/>
          <w:b/>
          <w:caps/>
          <w:color w:val="00529F"/>
        </w:rPr>
      </w:pPr>
    </w:p>
    <w:p w14:paraId="72396F8F" w14:textId="75B72326" w:rsidR="002A46AF" w:rsidRPr="00121B80" w:rsidRDefault="00FF0F75" w:rsidP="002A46AF">
      <w:pPr>
        <w:rPr>
          <w:rFonts w:cs="Segoe UI"/>
          <w:b/>
        </w:rPr>
      </w:pPr>
      <w:r>
        <w:rPr>
          <w:rFonts w:cs="Segoe UI"/>
          <w:b/>
        </w:rPr>
        <w:t>Podpora je určena pro projekty, které přesahují individuální limit oznamovací povinnosti pro článek 46 GBER, tedy podpora podle GBER by přesáhla 50 mil euro.</w:t>
      </w:r>
    </w:p>
    <w:p w14:paraId="70C576C7" w14:textId="0B1E3AEC" w:rsidR="00FF0F75" w:rsidRDefault="00FF0F75" w:rsidP="00B17421">
      <w:r>
        <w:t>Podpora musí plnit veškeré podmínky uvedené v Rozhodnutí Komise SA</w:t>
      </w:r>
      <w:r w:rsidR="005D001C">
        <w:t>.</w:t>
      </w:r>
      <w:r w:rsidR="005D001C" w:rsidRPr="005D001C">
        <w:rPr>
          <w:rFonts w:cs="Segoe UI"/>
        </w:rPr>
        <w:t xml:space="preserve"> </w:t>
      </w:r>
      <w:r w:rsidR="005D001C" w:rsidRPr="00E75FD2">
        <w:rPr>
          <w:rFonts w:cs="Segoe UI"/>
        </w:rPr>
        <w:t>103821</w:t>
      </w:r>
      <w:r>
        <w:t>.</w:t>
      </w:r>
    </w:p>
    <w:p w14:paraId="3EDE48B0" w14:textId="35968FFA" w:rsidR="0034543A" w:rsidRDefault="00FF0F75" w:rsidP="0034543A">
      <w:r w:rsidRPr="00BF36C7">
        <w:t xml:space="preserve">Výše podpory pro tyto projekty bude stanovena na základě </w:t>
      </w:r>
      <w:r w:rsidRPr="00BF36C7">
        <w:rPr>
          <w:b/>
          <w:bCs/>
        </w:rPr>
        <w:t>mezery ve financování</w:t>
      </w:r>
      <w:r w:rsidRPr="00BF36C7">
        <w:t>, tzv. nákladové mezery, vypočtené jako rozdíl mezi kladnými a zápornými peněžními toky po dobu trvání investice, diskontovanými na jejich současnou hodnotu, s využitím kapitálových vkladů.</w:t>
      </w:r>
      <w:r w:rsidRPr="00B836BD">
        <w:t xml:space="preserve"> </w:t>
      </w:r>
      <w:r w:rsidR="0034543A">
        <w:t xml:space="preserve">Výše uvedený výpočet v zásadě spočívá v porovnání investičního a alternativního scénáře. </w:t>
      </w:r>
      <w:r w:rsidRPr="00B836BD">
        <w:t>Pro tyto účely poskytuje SFŽP metodiku a výpočtový nástroj, které jsou přílohou výzvy.</w:t>
      </w:r>
      <w:r w:rsidR="0034543A" w:rsidRPr="0034543A">
        <w:t xml:space="preserve"> </w:t>
      </w:r>
    </w:p>
    <w:p w14:paraId="1672362D" w14:textId="70974ED1" w:rsidR="00FF0F75" w:rsidRDefault="00FF0F75" w:rsidP="00B17421"/>
    <w:p w14:paraId="6C84DDD5" w14:textId="3A7ABC30" w:rsidR="00B65B8E" w:rsidRDefault="00B65B8E" w:rsidP="00B17421">
      <w:r>
        <w:t>Ve výpočtovém nástroji (finanční analýze) jsou nad rámec standardního výpočtu mezery ve financování uplatněny limity maximální výše dotace pro jednotlivé typy podporovaných technologií v následujícím členění:</w:t>
      </w:r>
    </w:p>
    <w:p w14:paraId="12F367CC" w14:textId="3552068D" w:rsidR="00B65B8E" w:rsidRPr="00B65B8E" w:rsidRDefault="00B65B8E" w:rsidP="00BF36C7">
      <w:pPr>
        <w:pStyle w:val="Odstavecseseznamem"/>
        <w:numPr>
          <w:ilvl w:val="0"/>
          <w:numId w:val="17"/>
        </w:numPr>
        <w:spacing w:before="120" w:after="0" w:line="276" w:lineRule="auto"/>
        <w:jc w:val="left"/>
        <w:rPr>
          <w:rFonts w:cs="Segoe UI"/>
        </w:rPr>
      </w:pPr>
      <w:r w:rsidRPr="00B65B8E">
        <w:rPr>
          <w:rFonts w:cs="Segoe UI"/>
        </w:rPr>
        <w:t>inovativní teplárenské technologie (tepelná čerpadla, využití geotermální energie)</w:t>
      </w:r>
      <w:r>
        <w:rPr>
          <w:rFonts w:cs="Segoe UI"/>
        </w:rPr>
        <w:t xml:space="preserve"> </w:t>
      </w:r>
      <w:r w:rsidR="00BF36C7">
        <w:rPr>
          <w:rFonts w:cs="Segoe UI"/>
        </w:rPr>
        <w:br/>
      </w:r>
      <w:r>
        <w:rPr>
          <w:rFonts w:cs="Segoe UI"/>
        </w:rPr>
        <w:t>max. výše podpory 60 % ze způsobilých realizačních výdajů</w:t>
      </w:r>
      <w:r w:rsidRPr="00B65B8E">
        <w:rPr>
          <w:rFonts w:cs="Segoe UI"/>
        </w:rPr>
        <w:t>,</w:t>
      </w:r>
    </w:p>
    <w:p w14:paraId="1EE1BFCD" w14:textId="69ED674B" w:rsidR="00B65B8E" w:rsidRPr="00B65B8E" w:rsidRDefault="00B65B8E" w:rsidP="00BF36C7">
      <w:pPr>
        <w:pStyle w:val="Odstavecseseznamem"/>
        <w:numPr>
          <w:ilvl w:val="0"/>
          <w:numId w:val="17"/>
        </w:numPr>
        <w:spacing w:before="120" w:after="0"/>
        <w:ind w:left="714" w:hanging="357"/>
        <w:jc w:val="left"/>
        <w:rPr>
          <w:rFonts w:cs="Segoe UI"/>
        </w:rPr>
      </w:pPr>
      <w:r w:rsidRPr="00B65B8E">
        <w:rPr>
          <w:rFonts w:cs="Segoe UI"/>
        </w:rPr>
        <w:t>ostatní obnovitelné zdroje energie (např. biomasa, bioplyn)</w:t>
      </w:r>
      <w:r>
        <w:rPr>
          <w:rStyle w:val="Znakapoznpodarou"/>
          <w:rFonts w:cs="Segoe UI"/>
        </w:rPr>
        <w:footnoteReference w:id="1"/>
      </w:r>
      <w:r w:rsidRPr="00B65B8E">
        <w:rPr>
          <w:rFonts w:cs="Segoe UI"/>
        </w:rPr>
        <w:t xml:space="preserve"> a využití odpadního tepla</w:t>
      </w:r>
      <w:r w:rsidR="00BF36C7">
        <w:rPr>
          <w:rFonts w:cs="Segoe UI"/>
        </w:rPr>
        <w:br/>
      </w:r>
      <w:r>
        <w:rPr>
          <w:rFonts w:cs="Segoe UI"/>
        </w:rPr>
        <w:t>max. výše podpory 45 % ze způsobilých realizačních výdajů</w:t>
      </w:r>
      <w:r w:rsidRPr="00B65B8E">
        <w:rPr>
          <w:rFonts w:cs="Segoe UI"/>
        </w:rPr>
        <w:t>,</w:t>
      </w:r>
    </w:p>
    <w:p w14:paraId="555CC957" w14:textId="71B533DC" w:rsidR="00B65B8E" w:rsidRPr="00196E5A" w:rsidRDefault="00B65B8E" w:rsidP="00BF36C7">
      <w:pPr>
        <w:pStyle w:val="Odstavecseseznamem"/>
        <w:numPr>
          <w:ilvl w:val="0"/>
          <w:numId w:val="17"/>
        </w:numPr>
        <w:spacing w:before="120" w:after="0"/>
        <w:ind w:left="714" w:hanging="357"/>
        <w:jc w:val="left"/>
      </w:pPr>
      <w:r w:rsidRPr="00B65B8E">
        <w:rPr>
          <w:rFonts w:cs="Segoe UI"/>
        </w:rPr>
        <w:t>ostatní zdroje</w:t>
      </w:r>
      <w:r w:rsidR="00DE1E01">
        <w:rPr>
          <w:rFonts w:cs="Segoe UI"/>
        </w:rPr>
        <w:t xml:space="preserve"> KVET</w:t>
      </w:r>
      <w:r w:rsidRPr="00B65B8E">
        <w:rPr>
          <w:rFonts w:cs="Segoe UI"/>
        </w:rPr>
        <w:t xml:space="preserve"> (kotle na zemní plyn, energetické využití odpadů, TAP atd.)</w:t>
      </w:r>
      <w:r w:rsidR="00BF36C7">
        <w:rPr>
          <w:rFonts w:cs="Segoe UI"/>
        </w:rPr>
        <w:br/>
      </w:r>
      <w:r>
        <w:rPr>
          <w:rFonts w:cs="Segoe UI"/>
        </w:rPr>
        <w:t>max. výše podpory 30 % ze způsobilých realizačních výdajů.</w:t>
      </w:r>
    </w:p>
    <w:p w14:paraId="04DD438A" w14:textId="4CB212C5" w:rsidR="00196E5A" w:rsidRDefault="00196E5A" w:rsidP="00196E5A">
      <w:pPr>
        <w:spacing w:before="120"/>
        <w:ind w:left="357"/>
      </w:pPr>
      <w:r>
        <w:t>V případě kombinace uvedených podporovaných technologií budou maximální limity uplatněny následovně:</w:t>
      </w:r>
    </w:p>
    <w:p w14:paraId="19CDC484" w14:textId="665724CF" w:rsidR="00CC74C3" w:rsidRDefault="00196E5A" w:rsidP="00196E5A">
      <w:pPr>
        <w:pStyle w:val="Odstavecseseznamem"/>
        <w:numPr>
          <w:ilvl w:val="0"/>
          <w:numId w:val="18"/>
        </w:numPr>
        <w:spacing w:before="120"/>
      </w:pPr>
      <w:r>
        <w:t xml:space="preserve">ve výši 45 % za předpokladu, že obnovitelné zdroje tepla </w:t>
      </w:r>
      <w:r w:rsidR="00BF100D">
        <w:t xml:space="preserve">a využití odpadního tepla </w:t>
      </w:r>
      <w:r>
        <w:t>se podíl</w:t>
      </w:r>
      <w:r w:rsidR="00BF100D">
        <w:t>ejí</w:t>
      </w:r>
      <w:r>
        <w:t xml:space="preserve"> více než </w:t>
      </w:r>
      <w:r w:rsidR="00CC74C3">
        <w:t xml:space="preserve">z poloviny na celkové roční </w:t>
      </w:r>
      <w:r w:rsidR="00064EAE">
        <w:t xml:space="preserve">dodávce </w:t>
      </w:r>
      <w:r w:rsidR="00CC74C3">
        <w:t>tepla</w:t>
      </w:r>
      <w:r w:rsidR="0034543A">
        <w:t>,</w:t>
      </w:r>
    </w:p>
    <w:p w14:paraId="2880BA53" w14:textId="39BD2A1B" w:rsidR="00196E5A" w:rsidRDefault="00CC74C3" w:rsidP="00CC74C3">
      <w:pPr>
        <w:pStyle w:val="Odstavecseseznamem"/>
        <w:numPr>
          <w:ilvl w:val="0"/>
          <w:numId w:val="18"/>
        </w:numPr>
        <w:spacing w:before="120"/>
      </w:pPr>
      <w:r>
        <w:t xml:space="preserve">ve výši 50 % za předpokladu, že inovativní teplárenská technologie se podílí více než z 20 % na celkové roční </w:t>
      </w:r>
      <w:r w:rsidR="00064EAE">
        <w:t xml:space="preserve">dodávce </w:t>
      </w:r>
      <w:r>
        <w:t>tepla</w:t>
      </w:r>
      <w:r w:rsidR="009F54AF">
        <w:t>.</w:t>
      </w:r>
    </w:p>
    <w:p w14:paraId="76223921" w14:textId="77777777" w:rsidR="0034543A" w:rsidRDefault="0034543A" w:rsidP="0034543A">
      <w:pPr>
        <w:pStyle w:val="Odstavecseseznamem"/>
        <w:spacing w:before="120"/>
        <w:ind w:left="717"/>
      </w:pPr>
    </w:p>
    <w:p w14:paraId="30851F45" w14:textId="436F03D6" w:rsidR="00B836BD" w:rsidRDefault="00B836BD" w:rsidP="00B17421">
      <w:r>
        <w:t>Volba alternativního scénáře se může lišit v závislosti na charakteru projektu. Vzhledem k charakteru projektů předpokládáme, že nastane jedna z variant uvedených níže</w:t>
      </w:r>
      <w:r w:rsidR="00BF36C7">
        <w:t>.</w:t>
      </w:r>
    </w:p>
    <w:p w14:paraId="2416222D" w14:textId="1A2E8A97" w:rsidR="00B17421" w:rsidRDefault="00B17421" w:rsidP="00BF36C7">
      <w:pPr>
        <w:pStyle w:val="Odstavecseseznamem"/>
        <w:numPr>
          <w:ilvl w:val="0"/>
          <w:numId w:val="19"/>
        </w:numPr>
      </w:pPr>
      <w:r w:rsidRPr="004B2DF1">
        <w:t xml:space="preserve">Alternativní scénář ve formě </w:t>
      </w:r>
      <w:r>
        <w:t>finanční</w:t>
      </w:r>
      <w:r w:rsidR="005D001C">
        <w:t>ho</w:t>
      </w:r>
      <w:r>
        <w:t xml:space="preserve"> ohodnocení </w:t>
      </w:r>
      <w:r w:rsidRPr="004B2DF1">
        <w:t>udržení stávajícího zdroje v provozu, kdy tyto náklady</w:t>
      </w:r>
      <w:r>
        <w:t xml:space="preserve"> mohou být vyčísleny jako pravidelné investice, reinvestice, údržb</w:t>
      </w:r>
      <w:r w:rsidR="005D001C">
        <w:t>a</w:t>
      </w:r>
      <w:r w:rsidR="00B836BD">
        <w:t>,</w:t>
      </w:r>
      <w:r>
        <w:t xml:space="preserve"> nebo jako náklady na generální opravu, podle toho, co je relevantní. Pro tento účel jsou využitelné jak údaje předchozích let, tak případný investiční plán žadatele. Časová perioda pro stanovení </w:t>
      </w:r>
      <w:r>
        <w:lastRenderedPageBreak/>
        <w:t xml:space="preserve">nákladů na tuto alternativu představuje dobu odpisů nového zdroje. Do nákladů musí být zahrnuty náklady na ekologizaci zdroje podle současně známých legislativních požadavků, pokud jsou relevantní. </w:t>
      </w:r>
    </w:p>
    <w:p w14:paraId="31EE5B7C" w14:textId="721A9E4A" w:rsidR="002A46AF" w:rsidRPr="00B836BD" w:rsidRDefault="00B836BD" w:rsidP="00BF36C7">
      <w:pPr>
        <w:pStyle w:val="Odstavecseseznamem"/>
        <w:numPr>
          <w:ilvl w:val="0"/>
          <w:numId w:val="19"/>
        </w:numPr>
        <w:rPr>
          <w:rFonts w:cs="Segoe UI"/>
        </w:rPr>
      </w:pPr>
      <w:r>
        <w:t>A</w:t>
      </w:r>
      <w:r w:rsidR="00B17421" w:rsidRPr="004B2DF1">
        <w:t>lternativní scénář ve formě výstavby plynového zdroje o stejném instalovaném výkonu (se stejnou kapacitou výroby)</w:t>
      </w:r>
      <w:r w:rsidR="00B17421">
        <w:t>.</w:t>
      </w:r>
      <w:r w:rsidR="002D184C">
        <w:t xml:space="preserve"> </w:t>
      </w:r>
      <w:r w:rsidR="00B17421">
        <w:t xml:space="preserve">V případě, že předmětem projektu je kombinovaná výroba tepla a elektřiny </w:t>
      </w:r>
      <w:r w:rsidR="00206666">
        <w:t>(</w:t>
      </w:r>
      <w:r w:rsidR="00B17421">
        <w:t>KVET</w:t>
      </w:r>
      <w:r w:rsidR="00206666">
        <w:t>)</w:t>
      </w:r>
      <w:r w:rsidR="00B17421">
        <w:t xml:space="preserve">, alternativní investice se vyčíslí jako náklady na </w:t>
      </w:r>
      <w:r w:rsidR="00B17421" w:rsidRPr="004B2DF1">
        <w:t>výstavb</w:t>
      </w:r>
      <w:r w:rsidR="00B17421">
        <w:t>u</w:t>
      </w:r>
      <w:r w:rsidR="00B17421" w:rsidRPr="004B2DF1">
        <w:t xml:space="preserve"> plynového zdroje o stejném instalovaném </w:t>
      </w:r>
      <w:r w:rsidR="00B17421">
        <w:t xml:space="preserve">tepelném </w:t>
      </w:r>
      <w:r w:rsidR="00B17421" w:rsidRPr="004B2DF1">
        <w:t>výkonu (se stejnou kapacitou výroby</w:t>
      </w:r>
      <w:r w:rsidR="00B17421">
        <w:t xml:space="preserve"> tepla</w:t>
      </w:r>
      <w:r w:rsidR="00B17421" w:rsidRPr="004B2DF1">
        <w:t>)</w:t>
      </w:r>
      <w:r w:rsidR="002A46AF" w:rsidRPr="00B836BD">
        <w:rPr>
          <w:rFonts w:cs="Segoe UI"/>
        </w:rPr>
        <w:t>.</w:t>
      </w:r>
    </w:p>
    <w:p w14:paraId="77E01814" w14:textId="77777777" w:rsidR="00B836BD" w:rsidRDefault="00B836BD" w:rsidP="00B17421">
      <w:pPr>
        <w:rPr>
          <w:rFonts w:cs="Segoe UI"/>
        </w:rPr>
      </w:pPr>
    </w:p>
    <w:p w14:paraId="7049D1F0" w14:textId="479DBA7A" w:rsidR="00B836BD" w:rsidRDefault="00B836BD" w:rsidP="00B17421">
      <w:pPr>
        <w:rPr>
          <w:rFonts w:cs="Segoe UI"/>
        </w:rPr>
      </w:pPr>
      <w:r>
        <w:rPr>
          <w:rFonts w:cs="Segoe UI"/>
        </w:rPr>
        <w:t>Pokud alternativní scénář spočívá v udržení stávajícího zdroje v provozu s využitím interních podkladů, může být vyčíslení alternativního scénáře zpracováno žadatelem. Pokud je součástí nákladů</w:t>
      </w:r>
      <w:r w:rsidR="00DA13FC">
        <w:rPr>
          <w:rFonts w:cs="Segoe UI"/>
        </w:rPr>
        <w:t xml:space="preserve"> také</w:t>
      </w:r>
      <w:r>
        <w:rPr>
          <w:rFonts w:cs="Segoe UI"/>
        </w:rPr>
        <w:t xml:space="preserve"> ekologizace </w:t>
      </w:r>
      <w:r w:rsidR="00DA13FC">
        <w:rPr>
          <w:rFonts w:cs="Segoe UI"/>
        </w:rPr>
        <w:t>zdroje, tak pro tuto část musí být předložen rozpočet a stručná technická zpráva zpracované osobou oprávněnou projektovat technologické celky tohoto typu.</w:t>
      </w:r>
    </w:p>
    <w:p w14:paraId="04EED1AB" w14:textId="0AD25CC9" w:rsidR="002D184C" w:rsidRPr="00121B80" w:rsidRDefault="002D184C" w:rsidP="00B17421">
      <w:pPr>
        <w:rPr>
          <w:rFonts w:cs="Segoe UI"/>
        </w:rPr>
      </w:pPr>
      <w:r>
        <w:rPr>
          <w:rFonts w:cs="Segoe UI"/>
        </w:rPr>
        <w:t>Pokud alternativní scénář spočívá v nové, méně ekologické investici, musí být předložen rozpočet a stručná technická zpráva zpracované osobou oprávněnou projektovat technologické celky tohoto typu.</w:t>
      </w:r>
    </w:p>
    <w:p w14:paraId="20387785" w14:textId="6DADF926" w:rsidR="002A46AF" w:rsidRDefault="008B5000" w:rsidP="002A46AF">
      <w:pPr>
        <w:rPr>
          <w:rFonts w:cs="Segoe UI"/>
        </w:rPr>
      </w:pPr>
      <w:r>
        <w:rPr>
          <w:rFonts w:cs="Segoe UI"/>
        </w:rPr>
        <w:t>Oprávněnost a realizovatelnost alternativního scénáře musí být ověřena nezávislým odborníkem (oprávněná osoba, akademi</w:t>
      </w:r>
      <w:r w:rsidR="00DA13FC">
        <w:rPr>
          <w:rFonts w:cs="Segoe UI"/>
        </w:rPr>
        <w:t>cká sféra</w:t>
      </w:r>
      <w:r>
        <w:rPr>
          <w:rFonts w:cs="Segoe UI"/>
        </w:rPr>
        <w:t>). Posouzení musí zejména obsahovat vztah k plnění legislativy, náklady, udržitelnost.</w:t>
      </w:r>
    </w:p>
    <w:p w14:paraId="2EDE82FE" w14:textId="77777777" w:rsidR="00BF36C7" w:rsidRDefault="00BF36C7" w:rsidP="002A46AF">
      <w:pPr>
        <w:rPr>
          <w:rFonts w:cs="Segoe UI"/>
        </w:rPr>
      </w:pPr>
    </w:p>
    <w:p w14:paraId="1C507A54" w14:textId="77777777" w:rsidR="00BF36C7" w:rsidRDefault="00BF36C7" w:rsidP="002A46AF">
      <w:pPr>
        <w:rPr>
          <w:rFonts w:cs="Segoe UI"/>
        </w:rPr>
      </w:pPr>
    </w:p>
    <w:p w14:paraId="63E0FE3F" w14:textId="77777777" w:rsidR="00BF36C7" w:rsidRDefault="00BF36C7" w:rsidP="002A46AF">
      <w:pPr>
        <w:rPr>
          <w:rFonts w:cs="Segoe UI"/>
        </w:rPr>
      </w:pPr>
    </w:p>
    <w:p w14:paraId="4F78870B" w14:textId="77777777" w:rsidR="00BF36C7" w:rsidRDefault="00BF36C7" w:rsidP="002A46AF">
      <w:pPr>
        <w:rPr>
          <w:rFonts w:cs="Segoe UI"/>
        </w:rPr>
      </w:pPr>
    </w:p>
    <w:p w14:paraId="34525A7B" w14:textId="77777777" w:rsidR="00BF36C7" w:rsidRDefault="00BF36C7" w:rsidP="002A46AF">
      <w:pPr>
        <w:rPr>
          <w:rFonts w:cs="Segoe UI"/>
        </w:rPr>
      </w:pPr>
    </w:p>
    <w:p w14:paraId="1D66251A" w14:textId="77777777" w:rsidR="00BF36C7" w:rsidRDefault="00BF36C7" w:rsidP="002A46AF">
      <w:pPr>
        <w:rPr>
          <w:rFonts w:cs="Segoe UI"/>
        </w:rPr>
      </w:pPr>
    </w:p>
    <w:p w14:paraId="01316A10" w14:textId="77777777" w:rsidR="00BF36C7" w:rsidRDefault="00BF36C7" w:rsidP="002A46AF">
      <w:pPr>
        <w:rPr>
          <w:rFonts w:cs="Segoe UI"/>
        </w:rPr>
      </w:pPr>
    </w:p>
    <w:p w14:paraId="30A29D2D" w14:textId="77777777" w:rsidR="00BF36C7" w:rsidRDefault="00BF36C7" w:rsidP="002A46AF">
      <w:pPr>
        <w:rPr>
          <w:rFonts w:cs="Segoe UI"/>
        </w:rPr>
      </w:pPr>
    </w:p>
    <w:p w14:paraId="36BDC9A0" w14:textId="77777777" w:rsidR="00BF36C7" w:rsidRDefault="00BF36C7" w:rsidP="002A46AF">
      <w:pPr>
        <w:rPr>
          <w:rFonts w:cs="Segoe UI"/>
        </w:rPr>
      </w:pPr>
    </w:p>
    <w:p w14:paraId="7B415072" w14:textId="77777777" w:rsidR="00BF36C7" w:rsidRDefault="00BF36C7" w:rsidP="002A46AF">
      <w:pPr>
        <w:rPr>
          <w:rFonts w:cs="Segoe UI"/>
        </w:rPr>
      </w:pPr>
    </w:p>
    <w:p w14:paraId="1B1A89A1" w14:textId="77777777" w:rsidR="00BF36C7" w:rsidRDefault="00BF36C7" w:rsidP="002A46AF">
      <w:pPr>
        <w:rPr>
          <w:rFonts w:cs="Segoe UI"/>
        </w:rPr>
      </w:pPr>
    </w:p>
    <w:p w14:paraId="042435D0" w14:textId="77777777" w:rsidR="00BF36C7" w:rsidRDefault="00BF36C7" w:rsidP="002A46AF">
      <w:pPr>
        <w:rPr>
          <w:rFonts w:cs="Segoe UI"/>
        </w:rPr>
      </w:pPr>
    </w:p>
    <w:p w14:paraId="037BD340" w14:textId="77777777" w:rsidR="00BF36C7" w:rsidRDefault="00BF36C7" w:rsidP="002A46AF">
      <w:pPr>
        <w:rPr>
          <w:rFonts w:cs="Segoe UI"/>
        </w:rPr>
      </w:pPr>
    </w:p>
    <w:p w14:paraId="52F2D8A0" w14:textId="77777777" w:rsidR="00BF36C7" w:rsidRDefault="00BF36C7" w:rsidP="002A46AF">
      <w:pPr>
        <w:rPr>
          <w:rFonts w:cs="Segoe UI"/>
        </w:rPr>
      </w:pPr>
    </w:p>
    <w:p w14:paraId="4E50A3A2" w14:textId="0A363E4C" w:rsidR="002A46AF" w:rsidRPr="00BF36C7" w:rsidRDefault="002A46AF" w:rsidP="002A46AF">
      <w:pPr>
        <w:pStyle w:val="Podtitul11"/>
      </w:pPr>
      <w:bookmarkStart w:id="7" w:name="_Toc69281674"/>
      <w:bookmarkStart w:id="8" w:name="_Toc69282311"/>
      <w:bookmarkStart w:id="9" w:name="_Toc69286257"/>
      <w:bookmarkStart w:id="10" w:name="_Toc69287721"/>
      <w:bookmarkStart w:id="11" w:name="_Toc69281675"/>
      <w:bookmarkStart w:id="12" w:name="_Toc69282312"/>
      <w:bookmarkStart w:id="13" w:name="_Toc69286258"/>
      <w:bookmarkStart w:id="14" w:name="_Toc69287722"/>
      <w:bookmarkStart w:id="15" w:name="_Toc69281692"/>
      <w:bookmarkStart w:id="16" w:name="_Toc69282329"/>
      <w:bookmarkStart w:id="17" w:name="_Toc69286275"/>
      <w:bookmarkStart w:id="18" w:name="_Toc69287739"/>
      <w:bookmarkStart w:id="19" w:name="_Toc69281693"/>
      <w:bookmarkStart w:id="20" w:name="_Toc69282330"/>
      <w:bookmarkStart w:id="21" w:name="_Toc69286276"/>
      <w:bookmarkStart w:id="22" w:name="_Toc69287740"/>
      <w:bookmarkStart w:id="23" w:name="_Toc69281694"/>
      <w:bookmarkStart w:id="24" w:name="_Toc69282331"/>
      <w:bookmarkStart w:id="25" w:name="_Toc69286277"/>
      <w:bookmarkStart w:id="26" w:name="_Toc69287741"/>
      <w:bookmarkStart w:id="27" w:name="_Toc69281695"/>
      <w:bookmarkStart w:id="28" w:name="_Toc69282332"/>
      <w:bookmarkStart w:id="29" w:name="_Toc69286278"/>
      <w:bookmarkStart w:id="30" w:name="_Toc69287742"/>
      <w:bookmarkStart w:id="31" w:name="_Toc69281696"/>
      <w:bookmarkStart w:id="32" w:name="_Toc69282333"/>
      <w:bookmarkStart w:id="33" w:name="_Toc69286279"/>
      <w:bookmarkStart w:id="34" w:name="_Toc69287743"/>
      <w:bookmarkStart w:id="35" w:name="_Toc69249905"/>
      <w:bookmarkStart w:id="36" w:name="_Toc69281713"/>
      <w:bookmarkStart w:id="37" w:name="_Toc69282350"/>
      <w:bookmarkStart w:id="38" w:name="_Toc69286296"/>
      <w:bookmarkStart w:id="39" w:name="_Toc69287760"/>
      <w:bookmarkStart w:id="40" w:name="_Toc69298986"/>
      <w:bookmarkStart w:id="41" w:name="_Toc69375249"/>
      <w:bookmarkStart w:id="42" w:name="_Toc69281715"/>
      <w:bookmarkStart w:id="43" w:name="_Toc69282352"/>
      <w:bookmarkStart w:id="44" w:name="_Toc69286298"/>
      <w:bookmarkStart w:id="45" w:name="_Toc6928776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121B80">
        <w:lastRenderedPageBreak/>
        <w:t>Vzor analýzy souladu projektu s pravidly pro poskytování veřejné podpory</w:t>
      </w:r>
      <w:r w:rsidR="00BF36C7">
        <w:t xml:space="preserve"> </w:t>
      </w:r>
      <w:r w:rsidR="00BF36C7" w:rsidRPr="00BF36C7">
        <w:rPr>
          <w:b w:val="0"/>
          <w:bCs/>
          <w:i/>
          <w:iCs/>
          <w:caps w:val="0"/>
        </w:rPr>
        <w:t xml:space="preserve">(pouze pro projekty podpořené podle </w:t>
      </w:r>
      <w:r w:rsidR="00BF36C7">
        <w:rPr>
          <w:b w:val="0"/>
          <w:bCs/>
          <w:i/>
          <w:iCs/>
          <w:caps w:val="0"/>
        </w:rPr>
        <w:t>CEEAG, viz kapitola 3</w:t>
      </w:r>
      <w:r w:rsidR="00BF36C7" w:rsidRPr="00BF36C7">
        <w:rPr>
          <w:b w:val="0"/>
          <w:bCs/>
          <w:i/>
          <w:iCs/>
          <w:caps w:val="0"/>
        </w:rPr>
        <w:t>)</w:t>
      </w:r>
    </w:p>
    <w:p w14:paraId="7A5DC589" w14:textId="77777777" w:rsidR="00BF36C7" w:rsidRDefault="00BF36C7" w:rsidP="0059465F">
      <w:pPr>
        <w:spacing w:after="0"/>
        <w:rPr>
          <w:rFonts w:cs="Segoe UI"/>
          <w:sz w:val="18"/>
          <w:szCs w:val="18"/>
        </w:rPr>
      </w:pPr>
    </w:p>
    <w:p w14:paraId="06A269FA" w14:textId="5D1B461E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Název projektu, 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6335012B" w14:textId="77777777" w:rsidTr="00353DE8">
        <w:tc>
          <w:tcPr>
            <w:tcW w:w="9062" w:type="dxa"/>
          </w:tcPr>
          <w:p w14:paraId="1FC8536B" w14:textId="77777777" w:rsidR="002A46AF" w:rsidRPr="00121B80" w:rsidRDefault="002A46AF" w:rsidP="0059465F">
            <w:pPr>
              <w:spacing w:after="0"/>
              <w:rPr>
                <w:rFonts w:cs="Segoe UI"/>
                <w:szCs w:val="18"/>
              </w:rPr>
            </w:pPr>
          </w:p>
        </w:tc>
      </w:tr>
    </w:tbl>
    <w:p w14:paraId="037AAB89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p w14:paraId="1413633D" w14:textId="40199B13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Odůvodnění volby typu alternativní</w:t>
      </w:r>
      <w:r w:rsidR="008B5000">
        <w:rPr>
          <w:rFonts w:cs="Segoe UI"/>
          <w:sz w:val="18"/>
          <w:szCs w:val="18"/>
        </w:rPr>
        <w:t>ho scénáře</w:t>
      </w:r>
      <w:r w:rsidRPr="00121B80">
        <w:rPr>
          <w:rFonts w:cs="Segoe UI"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23A98E38" w14:textId="77777777" w:rsidTr="00353DE8">
        <w:tc>
          <w:tcPr>
            <w:tcW w:w="9062" w:type="dxa"/>
          </w:tcPr>
          <w:p w14:paraId="46D2E50A" w14:textId="77777777" w:rsidR="002A46AF" w:rsidRPr="00121B80" w:rsidRDefault="002A46AF" w:rsidP="0059465F">
            <w:pPr>
              <w:spacing w:after="0"/>
              <w:rPr>
                <w:rFonts w:cs="Segoe UI"/>
                <w:szCs w:val="18"/>
              </w:rPr>
            </w:pPr>
          </w:p>
        </w:tc>
      </w:tr>
    </w:tbl>
    <w:p w14:paraId="3AC1CF2A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p w14:paraId="38354969" w14:textId="24B07654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Stručný popis technických parametrů alternativní</w:t>
      </w:r>
      <w:r w:rsidR="008B5000">
        <w:rPr>
          <w:rFonts w:cs="Segoe UI"/>
          <w:sz w:val="18"/>
          <w:szCs w:val="18"/>
        </w:rPr>
        <w:t>ho scénáře</w:t>
      </w:r>
      <w:r w:rsidRPr="00121B80">
        <w:rPr>
          <w:rFonts w:cs="Segoe UI"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237F1AEF" w14:textId="77777777" w:rsidTr="00353DE8">
        <w:tc>
          <w:tcPr>
            <w:tcW w:w="9062" w:type="dxa"/>
          </w:tcPr>
          <w:p w14:paraId="6F4E2219" w14:textId="4B2148E8" w:rsidR="002A46AF" w:rsidRPr="00B17421" w:rsidRDefault="00B17421" w:rsidP="00B17421">
            <w:pPr>
              <w:tabs>
                <w:tab w:val="left" w:pos="2385"/>
              </w:tabs>
              <w:rPr>
                <w:i/>
                <w:iCs/>
              </w:rPr>
            </w:pPr>
            <w:r w:rsidRPr="00707BFF">
              <w:rPr>
                <w:i/>
                <w:iCs/>
              </w:rPr>
              <w:t>Uveďte stručný souhrn hlavních parametrů investice, odkaz na dokumenty, které obsahují podrobné informace. Popis alternativní investice dokládejte vždy jako samostatný dokument.</w:t>
            </w:r>
          </w:p>
        </w:tc>
      </w:tr>
    </w:tbl>
    <w:p w14:paraId="5E39146B" w14:textId="77777777" w:rsidR="002A46AF" w:rsidRPr="00121B80" w:rsidRDefault="002A46AF" w:rsidP="0059465F">
      <w:pPr>
        <w:tabs>
          <w:tab w:val="left" w:pos="2385"/>
        </w:tabs>
        <w:spacing w:after="0"/>
        <w:rPr>
          <w:rFonts w:cs="Segoe UI"/>
          <w:sz w:val="18"/>
          <w:szCs w:val="18"/>
        </w:rPr>
      </w:pPr>
    </w:p>
    <w:p w14:paraId="4ED145A8" w14:textId="18D40ABA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Vyčíslení nákladů alternativní</w:t>
      </w:r>
      <w:r w:rsidR="008B5000">
        <w:rPr>
          <w:rFonts w:cs="Segoe UI"/>
          <w:sz w:val="18"/>
          <w:szCs w:val="18"/>
        </w:rPr>
        <w:t>ho scénáře</w:t>
      </w:r>
      <w:r w:rsidRPr="00121B80">
        <w:rPr>
          <w:rFonts w:cs="Segoe UI"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7903249D" w14:textId="77777777" w:rsidTr="00353DE8">
        <w:tc>
          <w:tcPr>
            <w:tcW w:w="9062" w:type="dxa"/>
          </w:tcPr>
          <w:p w14:paraId="4D6A1060" w14:textId="77777777" w:rsidR="002A46AF" w:rsidRPr="00121B80" w:rsidRDefault="002A46AF" w:rsidP="0059465F">
            <w:pPr>
              <w:spacing w:after="0"/>
              <w:rPr>
                <w:rFonts w:cs="Segoe UI"/>
                <w:szCs w:val="18"/>
              </w:rPr>
            </w:pPr>
          </w:p>
        </w:tc>
      </w:tr>
    </w:tbl>
    <w:p w14:paraId="08A090E7" w14:textId="77777777" w:rsidR="002A46AF" w:rsidRPr="00121B80" w:rsidRDefault="002A46AF" w:rsidP="0059465F">
      <w:pPr>
        <w:tabs>
          <w:tab w:val="left" w:pos="2385"/>
        </w:tabs>
        <w:spacing w:after="0"/>
        <w:rPr>
          <w:rFonts w:cs="Segoe UI"/>
          <w:sz w:val="18"/>
          <w:szCs w:val="18"/>
        </w:rPr>
      </w:pPr>
    </w:p>
    <w:p w14:paraId="12E396C2" w14:textId="0475C131" w:rsidR="002A46AF" w:rsidRDefault="002A46AF" w:rsidP="0059465F">
      <w:pPr>
        <w:tabs>
          <w:tab w:val="left" w:pos="2385"/>
        </w:tabs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Vyhodnocení plnění požadavků BAT</w:t>
      </w:r>
      <w:r w:rsidR="00F94D98" w:rsidRPr="00121B80">
        <w:rPr>
          <w:rFonts w:cs="Segoe UI"/>
          <w:sz w:val="18"/>
          <w:szCs w:val="18"/>
        </w:rPr>
        <w:t xml:space="preserve"> pro stávající stav</w:t>
      </w:r>
      <w:r w:rsidRPr="00121B80">
        <w:rPr>
          <w:rFonts w:cs="Segoe UI"/>
          <w:sz w:val="18"/>
          <w:szCs w:val="18"/>
        </w:rPr>
        <w:t xml:space="preserve"> (</w:t>
      </w:r>
      <w:r w:rsidR="00E6467F">
        <w:rPr>
          <w:rFonts w:cs="Segoe UI"/>
          <w:sz w:val="18"/>
          <w:szCs w:val="18"/>
        </w:rPr>
        <w:t>je-li</w:t>
      </w:r>
      <w:r w:rsidRPr="00121B80">
        <w:rPr>
          <w:rFonts w:cs="Segoe UI"/>
          <w:sz w:val="18"/>
          <w:szCs w:val="18"/>
        </w:rPr>
        <w:t xml:space="preserve"> relevantní)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B17421" w:rsidRPr="00121B80" w14:paraId="70AB453A" w14:textId="77777777" w:rsidTr="00B17421">
        <w:tc>
          <w:tcPr>
            <w:tcW w:w="8993" w:type="dxa"/>
          </w:tcPr>
          <w:p w14:paraId="3105CA31" w14:textId="77777777" w:rsidR="00B17421" w:rsidRPr="00707BFF" w:rsidRDefault="00B17421" w:rsidP="00B17421">
            <w:pPr>
              <w:tabs>
                <w:tab w:val="left" w:pos="2385"/>
              </w:tabs>
              <w:rPr>
                <w:i/>
                <w:iCs/>
              </w:rPr>
            </w:pPr>
            <w:r w:rsidRPr="00707BFF">
              <w:rPr>
                <w:i/>
                <w:iCs/>
              </w:rPr>
              <w:t xml:space="preserve">V této části analýzy jsou identifikována </w:t>
            </w:r>
            <w:r w:rsidRPr="00707BFF">
              <w:rPr>
                <w:b/>
                <w:bCs/>
                <w:i/>
                <w:iCs/>
              </w:rPr>
              <w:t>pouze</w:t>
            </w:r>
            <w:r w:rsidRPr="00707BFF">
              <w:rPr>
                <w:i/>
                <w:iCs/>
              </w:rPr>
              <w:t xml:space="preserve"> případná neplnění požadavků BREF u technologií, které jsou předmětem projektu. Typicky může jít např. o dočasné výjimky z plnění BAT AEL nebo stav, kdy stávající zařízení dosud neodpovídá již platným Závěrům o BAT a je stanovena lhůta pro dosažení souladu. Vždy je uveden odkaz na platné integrované povolení (resp. jeho konkrétní změnu), která tuto výjimku (nebo výjimky) definuje.</w:t>
            </w:r>
          </w:p>
          <w:p w14:paraId="462A7A04" w14:textId="77777777" w:rsidR="00B17421" w:rsidRPr="00707BFF" w:rsidRDefault="00B17421" w:rsidP="00B17421">
            <w:pPr>
              <w:tabs>
                <w:tab w:val="left" w:pos="2385"/>
              </w:tabs>
              <w:rPr>
                <w:b/>
                <w:bCs/>
                <w:i/>
                <w:iCs/>
              </w:rPr>
            </w:pPr>
            <w:r w:rsidRPr="00707BFF">
              <w:rPr>
                <w:b/>
                <w:bCs/>
                <w:i/>
                <w:iCs/>
              </w:rPr>
              <w:t>V případě, že zařízení nemá uplatněnu žádnou výjimku z plnění BAT a plní již v současné době všechny požadavky platných BAT, vyhodnocení plnění požadavků BAT se nezpracovává. Tyto skutečnosti jsou zde konstatovány s uvedením odkazu na platné integrované povolení (resp. jeho konkrétní změnu).</w:t>
            </w:r>
          </w:p>
          <w:p w14:paraId="7FAED195" w14:textId="0E3F2AD5" w:rsidR="00B17421" w:rsidRPr="00121B80" w:rsidRDefault="00B17421" w:rsidP="00B17421">
            <w:pPr>
              <w:tabs>
                <w:tab w:val="left" w:pos="2385"/>
              </w:tabs>
              <w:rPr>
                <w:rFonts w:cs="Segoe UI"/>
                <w:szCs w:val="18"/>
              </w:rPr>
            </w:pPr>
            <w:r w:rsidRPr="00707BFF">
              <w:rPr>
                <w:i/>
                <w:iCs/>
              </w:rPr>
              <w:t>Tato část analýzy souladu musí být zpracována a potvrzena osobou s příslušnou odbornou kvalifikací, kterou je buď autorizace udělená pro zpracování odborného posudku podle § 32 odst. 1 písm. d) zákona č. 201/2012 Sb., o ochraně ovzduší, ve znění pozdějších předpisů nebo odborně způsobilá osoba dle § 6 zákona č. 76/2002 Sb., zákon o integrované prevenci, ve znění pozdějších předpisů.</w:t>
            </w:r>
          </w:p>
        </w:tc>
      </w:tr>
    </w:tbl>
    <w:p w14:paraId="68BA5493" w14:textId="77777777" w:rsidR="002A46AF" w:rsidRPr="00121B80" w:rsidRDefault="002A46AF" w:rsidP="0059465F">
      <w:pPr>
        <w:tabs>
          <w:tab w:val="left" w:pos="2385"/>
        </w:tabs>
        <w:spacing w:after="0"/>
        <w:rPr>
          <w:rFonts w:cs="Segoe UI"/>
          <w:sz w:val="18"/>
          <w:szCs w:val="18"/>
        </w:rPr>
      </w:pPr>
    </w:p>
    <w:p w14:paraId="4F4B7B0B" w14:textId="332F080F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Jméno a identifikace autorizace zpracovatele studie a rozpočtu alternativní</w:t>
      </w:r>
      <w:r w:rsidR="002D184C">
        <w:rPr>
          <w:rFonts w:cs="Segoe UI"/>
          <w:sz w:val="18"/>
          <w:szCs w:val="18"/>
        </w:rPr>
        <w:t>ho</w:t>
      </w:r>
      <w:r w:rsidRPr="00121B80">
        <w:rPr>
          <w:rFonts w:cs="Segoe UI"/>
          <w:sz w:val="18"/>
          <w:szCs w:val="18"/>
        </w:rPr>
        <w:t xml:space="preserve"> </w:t>
      </w:r>
      <w:r w:rsidR="008B5000">
        <w:rPr>
          <w:rFonts w:cs="Segoe UI"/>
          <w:sz w:val="18"/>
          <w:szCs w:val="18"/>
        </w:rPr>
        <w:t>scénář</w:t>
      </w:r>
      <w:r w:rsidR="002D184C">
        <w:rPr>
          <w:rFonts w:cs="Segoe UI"/>
          <w:sz w:val="18"/>
          <w:szCs w:val="18"/>
        </w:rPr>
        <w:t>e</w:t>
      </w:r>
      <w:r w:rsidRPr="00121B80">
        <w:rPr>
          <w:rFonts w:cs="Segoe UI"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5B122EBC" w14:textId="77777777" w:rsidTr="00353DE8">
        <w:tc>
          <w:tcPr>
            <w:tcW w:w="9062" w:type="dxa"/>
          </w:tcPr>
          <w:p w14:paraId="1DBC4790" w14:textId="77777777" w:rsidR="002A46AF" w:rsidRPr="00121B80" w:rsidRDefault="002A46AF" w:rsidP="0059465F">
            <w:pPr>
              <w:spacing w:after="0"/>
              <w:rPr>
                <w:rFonts w:cs="Segoe UI"/>
                <w:szCs w:val="18"/>
              </w:rPr>
            </w:pPr>
          </w:p>
        </w:tc>
      </w:tr>
    </w:tbl>
    <w:p w14:paraId="6397D0D0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p w14:paraId="5232B8B1" w14:textId="2E54F28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  <w:r w:rsidRPr="00121B80">
        <w:rPr>
          <w:rFonts w:cs="Segoe UI"/>
          <w:sz w:val="18"/>
          <w:szCs w:val="18"/>
        </w:rPr>
        <w:t>Zpracovatel oponentního posudku alternativní</w:t>
      </w:r>
      <w:r w:rsidR="008B5000">
        <w:rPr>
          <w:rFonts w:cs="Segoe UI"/>
          <w:sz w:val="18"/>
          <w:szCs w:val="18"/>
        </w:rPr>
        <w:t>ho scénáře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3"/>
      </w:tblGrid>
      <w:tr w:rsidR="002A46AF" w:rsidRPr="00121B80" w14:paraId="163EB840" w14:textId="77777777" w:rsidTr="00353DE8">
        <w:tc>
          <w:tcPr>
            <w:tcW w:w="9062" w:type="dxa"/>
          </w:tcPr>
          <w:p w14:paraId="7EE4452C" w14:textId="77777777" w:rsidR="002A46AF" w:rsidRPr="00121B80" w:rsidRDefault="002A46AF" w:rsidP="0059465F">
            <w:pPr>
              <w:spacing w:after="0"/>
              <w:rPr>
                <w:rFonts w:cs="Segoe UI"/>
                <w:szCs w:val="18"/>
              </w:rPr>
            </w:pPr>
          </w:p>
        </w:tc>
      </w:tr>
    </w:tbl>
    <w:p w14:paraId="7F2F2E1C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bookmarkEnd w:id="3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9349" w14:textId="77777777" w:rsidR="00127970" w:rsidRDefault="00127970">
      <w:r>
        <w:separator/>
      </w:r>
    </w:p>
  </w:endnote>
  <w:endnote w:type="continuationSeparator" w:id="0">
    <w:p w14:paraId="07B7BD3C" w14:textId="77777777" w:rsidR="00127970" w:rsidRDefault="0012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34025" w14:textId="3B856F90" w:rsidR="00BF36C7" w:rsidRPr="00E6467F" w:rsidRDefault="006D04DB" w:rsidP="00BF36C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BF100D">
                            <w:rPr>
                              <w:rStyle w:val="slostrnky"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BF36C7">
                            <w:rPr>
                              <w:rStyle w:val="slostrnky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3CC34025" w14:textId="3B856F90" w:rsidR="00BF36C7" w:rsidRPr="00E6467F" w:rsidRDefault="006D04DB" w:rsidP="00BF36C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BF100D">
                      <w:rPr>
                        <w:rStyle w:val="slostrnky"/>
                        <w:noProof/>
                        <w:sz w:val="16"/>
                      </w:rPr>
                      <w:t>4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BF36C7">
                      <w:rPr>
                        <w:rStyle w:val="slostrnky"/>
                        <w:sz w:val="16"/>
                      </w:rPr>
                      <w:t>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55785BC8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>korespondenční a kontaktní adresa: Olbrachtova 2006/9, 140 00 Praha 4; IČ: 00020729</w:t>
    </w:r>
  </w:p>
  <w:p w14:paraId="2075566D" w14:textId="395A37CE" w:rsidR="00EF30D3" w:rsidRPr="00E20821" w:rsidRDefault="00071B6A" w:rsidP="00396AA1">
    <w:pPr>
      <w:pStyle w:val="Zpat"/>
      <w:spacing w:after="0"/>
      <w:rPr>
        <w:szCs w:val="16"/>
      </w:rPr>
    </w:pPr>
    <w:r w:rsidRPr="00E20821">
      <w:rPr>
        <w:b/>
        <w:szCs w:val="16"/>
      </w:rPr>
      <w:t>www.modernizacni-fond.cz, e-mail: modernizacni.fond@sfzp.cz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DAB7" w14:textId="77777777" w:rsidR="00A93C82" w:rsidRPr="00AB4745" w:rsidRDefault="007F5CB2">
    <w:pPr>
      <w:pStyle w:val="Zpat"/>
      <w:rPr>
        <w:color w:val="00529F"/>
        <w:sz w:val="20"/>
      </w:rPr>
    </w:pPr>
    <w:r w:rsidRPr="00AB4745">
      <w:rPr>
        <w:color w:val="00529F"/>
        <w:sz w:val="20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C7033" w14:textId="77777777" w:rsidR="00127970" w:rsidRDefault="00127970">
      <w:r>
        <w:separator/>
      </w:r>
    </w:p>
  </w:footnote>
  <w:footnote w:type="continuationSeparator" w:id="0">
    <w:p w14:paraId="448BEF8E" w14:textId="77777777" w:rsidR="00127970" w:rsidRDefault="00127970">
      <w:r>
        <w:continuationSeparator/>
      </w:r>
    </w:p>
  </w:footnote>
  <w:footnote w:id="1">
    <w:p w14:paraId="579960BF" w14:textId="77777777" w:rsidR="00B65B8E" w:rsidRDefault="00B65B8E" w:rsidP="00B65B8E">
      <w:pPr>
        <w:pStyle w:val="Textpoznpodarou"/>
      </w:pPr>
      <w:r>
        <w:rPr>
          <w:rStyle w:val="Znakapoznpodarou"/>
        </w:rPr>
        <w:footnoteRef/>
      </w:r>
      <w:r>
        <w:t xml:space="preserve"> Pro zařazení zdroje do této kategorie se vyžaduje 100 % využití OZE v podporovaném kotli. V případě kotle spalujícího společně s OZE i jiný typ paliv (např. </w:t>
      </w:r>
      <w:proofErr w:type="spellStart"/>
      <w:r>
        <w:t>spoluspalování</w:t>
      </w:r>
      <w:proofErr w:type="spellEnd"/>
      <w:r>
        <w:t xml:space="preserve"> biomasy s TAP) se tento zdroj zařadí do třetí kategorie – ostatní zdroje.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FFDA" w14:textId="618A8AE9" w:rsidR="00071B6A" w:rsidRDefault="003B2477">
    <w:pPr>
      <w:pStyle w:val="Zhlav"/>
    </w:pPr>
    <w:r>
      <w:rPr>
        <w:noProof/>
      </w:rPr>
      <w:drawing>
        <wp:inline distT="0" distB="0" distL="0" distR="0" wp14:anchorId="1AFFECB5" wp14:editId="672889FC">
          <wp:extent cx="5719445" cy="463364"/>
          <wp:effectExtent l="0" t="0" r="0" b="0"/>
          <wp:docPr id="55494409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A02A" w14:textId="30D52E02" w:rsidR="00071B6A" w:rsidRDefault="003B2477">
    <w:pPr>
      <w:pStyle w:val="Zhlav"/>
    </w:pPr>
    <w:r>
      <w:rPr>
        <w:noProof/>
      </w:rPr>
      <w:drawing>
        <wp:inline distT="0" distB="0" distL="0" distR="0" wp14:anchorId="7D52E10F" wp14:editId="6F90F096">
          <wp:extent cx="5719445" cy="463364"/>
          <wp:effectExtent l="0" t="0" r="0" b="0"/>
          <wp:docPr id="152941881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52B7519"/>
    <w:multiLevelType w:val="hybridMultilevel"/>
    <w:tmpl w:val="0AC0C63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06B6"/>
    <w:multiLevelType w:val="hybridMultilevel"/>
    <w:tmpl w:val="678E3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D05A1"/>
    <w:multiLevelType w:val="hybridMultilevel"/>
    <w:tmpl w:val="94C0061E"/>
    <w:lvl w:ilvl="0" w:tplc="9162E75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079BB"/>
    <w:multiLevelType w:val="hybridMultilevel"/>
    <w:tmpl w:val="E36A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25477351">
    <w:abstractNumId w:val="0"/>
  </w:num>
  <w:num w:numId="2" w16cid:durableId="1015423380">
    <w:abstractNumId w:val="9"/>
  </w:num>
  <w:num w:numId="3" w16cid:durableId="1241938847">
    <w:abstractNumId w:val="2"/>
  </w:num>
  <w:num w:numId="4" w16cid:durableId="1561206471">
    <w:abstractNumId w:val="16"/>
  </w:num>
  <w:num w:numId="5" w16cid:durableId="1146895698">
    <w:abstractNumId w:val="4"/>
  </w:num>
  <w:num w:numId="6" w16cid:durableId="1315985663">
    <w:abstractNumId w:val="18"/>
  </w:num>
  <w:num w:numId="7" w16cid:durableId="1314602714">
    <w:abstractNumId w:val="13"/>
  </w:num>
  <w:num w:numId="8" w16cid:durableId="263805075">
    <w:abstractNumId w:val="5"/>
  </w:num>
  <w:num w:numId="9" w16cid:durableId="818769339">
    <w:abstractNumId w:val="8"/>
  </w:num>
  <w:num w:numId="10" w16cid:durableId="1905601033">
    <w:abstractNumId w:val="10"/>
  </w:num>
  <w:num w:numId="11" w16cid:durableId="563373884">
    <w:abstractNumId w:val="17"/>
  </w:num>
  <w:num w:numId="12" w16cid:durableId="1377703892">
    <w:abstractNumId w:val="6"/>
  </w:num>
  <w:num w:numId="13" w16cid:durableId="1100833929">
    <w:abstractNumId w:val="11"/>
  </w:num>
  <w:num w:numId="14" w16cid:durableId="232592585">
    <w:abstractNumId w:val="14"/>
  </w:num>
  <w:num w:numId="15" w16cid:durableId="1048341965">
    <w:abstractNumId w:val="3"/>
  </w:num>
  <w:num w:numId="16" w16cid:durableId="2081555449">
    <w:abstractNumId w:val="1"/>
  </w:num>
  <w:num w:numId="17" w16cid:durableId="236746926">
    <w:abstractNumId w:val="7"/>
  </w:num>
  <w:num w:numId="18" w16cid:durableId="223301335">
    <w:abstractNumId w:val="12"/>
  </w:num>
  <w:num w:numId="19" w16cid:durableId="133360788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AF"/>
    <w:rsid w:val="000051BE"/>
    <w:rsid w:val="0001102B"/>
    <w:rsid w:val="000117C0"/>
    <w:rsid w:val="000336DD"/>
    <w:rsid w:val="00064EAE"/>
    <w:rsid w:val="00071B6A"/>
    <w:rsid w:val="00071D60"/>
    <w:rsid w:val="0008090B"/>
    <w:rsid w:val="000844C1"/>
    <w:rsid w:val="000868F1"/>
    <w:rsid w:val="00094C31"/>
    <w:rsid w:val="000A3368"/>
    <w:rsid w:val="000A6243"/>
    <w:rsid w:val="000B0A51"/>
    <w:rsid w:val="000C03CC"/>
    <w:rsid w:val="000C227A"/>
    <w:rsid w:val="000C6640"/>
    <w:rsid w:val="000D0711"/>
    <w:rsid w:val="000E139B"/>
    <w:rsid w:val="000E6E4C"/>
    <w:rsid w:val="00105C84"/>
    <w:rsid w:val="00112BD0"/>
    <w:rsid w:val="00114405"/>
    <w:rsid w:val="00117CB4"/>
    <w:rsid w:val="00121B80"/>
    <w:rsid w:val="00122885"/>
    <w:rsid w:val="001232E9"/>
    <w:rsid w:val="00127970"/>
    <w:rsid w:val="00157C0F"/>
    <w:rsid w:val="00164DC0"/>
    <w:rsid w:val="00166056"/>
    <w:rsid w:val="001762BD"/>
    <w:rsid w:val="00180AC3"/>
    <w:rsid w:val="00182E1E"/>
    <w:rsid w:val="00196E5A"/>
    <w:rsid w:val="001B3F07"/>
    <w:rsid w:val="001B6DF9"/>
    <w:rsid w:val="001C447F"/>
    <w:rsid w:val="001C4A5F"/>
    <w:rsid w:val="001D4DB2"/>
    <w:rsid w:val="001D6DCE"/>
    <w:rsid w:val="001D7ACF"/>
    <w:rsid w:val="001E3961"/>
    <w:rsid w:val="001F3FB0"/>
    <w:rsid w:val="001F79C3"/>
    <w:rsid w:val="001F7F17"/>
    <w:rsid w:val="002052EC"/>
    <w:rsid w:val="00206666"/>
    <w:rsid w:val="002213F5"/>
    <w:rsid w:val="0023174D"/>
    <w:rsid w:val="00240082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184C"/>
    <w:rsid w:val="002E572B"/>
    <w:rsid w:val="002F6510"/>
    <w:rsid w:val="00312944"/>
    <w:rsid w:val="00326583"/>
    <w:rsid w:val="003343C2"/>
    <w:rsid w:val="0034543A"/>
    <w:rsid w:val="003517B5"/>
    <w:rsid w:val="00352C30"/>
    <w:rsid w:val="00374328"/>
    <w:rsid w:val="00396AA1"/>
    <w:rsid w:val="00396DF9"/>
    <w:rsid w:val="003B2477"/>
    <w:rsid w:val="003C07A4"/>
    <w:rsid w:val="003C4BE2"/>
    <w:rsid w:val="003C4C6A"/>
    <w:rsid w:val="003E3C90"/>
    <w:rsid w:val="003E5845"/>
    <w:rsid w:val="003F31E4"/>
    <w:rsid w:val="00403C98"/>
    <w:rsid w:val="00411DF0"/>
    <w:rsid w:val="00411F1B"/>
    <w:rsid w:val="0041604F"/>
    <w:rsid w:val="00416C8F"/>
    <w:rsid w:val="00421A60"/>
    <w:rsid w:val="004417EB"/>
    <w:rsid w:val="00445649"/>
    <w:rsid w:val="00446A2E"/>
    <w:rsid w:val="00455936"/>
    <w:rsid w:val="00455998"/>
    <w:rsid w:val="00455A13"/>
    <w:rsid w:val="00461C15"/>
    <w:rsid w:val="00462CCE"/>
    <w:rsid w:val="00463C6C"/>
    <w:rsid w:val="00465963"/>
    <w:rsid w:val="00476A92"/>
    <w:rsid w:val="004B2DFF"/>
    <w:rsid w:val="004B57EA"/>
    <w:rsid w:val="004C2A17"/>
    <w:rsid w:val="004D04E1"/>
    <w:rsid w:val="004E08E0"/>
    <w:rsid w:val="004E33BF"/>
    <w:rsid w:val="00503903"/>
    <w:rsid w:val="00524500"/>
    <w:rsid w:val="0052756C"/>
    <w:rsid w:val="00556ADA"/>
    <w:rsid w:val="00573448"/>
    <w:rsid w:val="0057613B"/>
    <w:rsid w:val="0059465F"/>
    <w:rsid w:val="00596B5F"/>
    <w:rsid w:val="005C46AE"/>
    <w:rsid w:val="005D001C"/>
    <w:rsid w:val="005D1590"/>
    <w:rsid w:val="005D7771"/>
    <w:rsid w:val="005E7BAA"/>
    <w:rsid w:val="005F06D8"/>
    <w:rsid w:val="005F4067"/>
    <w:rsid w:val="00601AAD"/>
    <w:rsid w:val="00604974"/>
    <w:rsid w:val="00653A6F"/>
    <w:rsid w:val="00675D37"/>
    <w:rsid w:val="00683068"/>
    <w:rsid w:val="00683BAF"/>
    <w:rsid w:val="006847CA"/>
    <w:rsid w:val="006B4130"/>
    <w:rsid w:val="006B5763"/>
    <w:rsid w:val="006C7A13"/>
    <w:rsid w:val="006D04DB"/>
    <w:rsid w:val="006D6444"/>
    <w:rsid w:val="006D75DE"/>
    <w:rsid w:val="006E4CD3"/>
    <w:rsid w:val="006F2171"/>
    <w:rsid w:val="0070160A"/>
    <w:rsid w:val="0071738E"/>
    <w:rsid w:val="00717985"/>
    <w:rsid w:val="00724737"/>
    <w:rsid w:val="007334D5"/>
    <w:rsid w:val="00753E12"/>
    <w:rsid w:val="007625DC"/>
    <w:rsid w:val="00767AA8"/>
    <w:rsid w:val="00773A4C"/>
    <w:rsid w:val="007829CC"/>
    <w:rsid w:val="00784768"/>
    <w:rsid w:val="00796D29"/>
    <w:rsid w:val="007A2B9F"/>
    <w:rsid w:val="007B0B58"/>
    <w:rsid w:val="007D002E"/>
    <w:rsid w:val="007D246C"/>
    <w:rsid w:val="007F5CB2"/>
    <w:rsid w:val="007F7F78"/>
    <w:rsid w:val="00800444"/>
    <w:rsid w:val="00804373"/>
    <w:rsid w:val="00820941"/>
    <w:rsid w:val="008466BA"/>
    <w:rsid w:val="008501BE"/>
    <w:rsid w:val="008513BB"/>
    <w:rsid w:val="00855AA2"/>
    <w:rsid w:val="008729C5"/>
    <w:rsid w:val="00873212"/>
    <w:rsid w:val="00876EFE"/>
    <w:rsid w:val="008811D8"/>
    <w:rsid w:val="008871FE"/>
    <w:rsid w:val="008943E4"/>
    <w:rsid w:val="00895283"/>
    <w:rsid w:val="008B5000"/>
    <w:rsid w:val="008B623B"/>
    <w:rsid w:val="008C3A83"/>
    <w:rsid w:val="008D09CF"/>
    <w:rsid w:val="008D20EA"/>
    <w:rsid w:val="008D4615"/>
    <w:rsid w:val="008E3500"/>
    <w:rsid w:val="008E4B1E"/>
    <w:rsid w:val="008F2A98"/>
    <w:rsid w:val="008F66D1"/>
    <w:rsid w:val="00905731"/>
    <w:rsid w:val="00907D5C"/>
    <w:rsid w:val="00910E51"/>
    <w:rsid w:val="0092608C"/>
    <w:rsid w:val="00946141"/>
    <w:rsid w:val="00952B04"/>
    <w:rsid w:val="00954A96"/>
    <w:rsid w:val="00967B7A"/>
    <w:rsid w:val="009746FF"/>
    <w:rsid w:val="00977554"/>
    <w:rsid w:val="009953D0"/>
    <w:rsid w:val="009963A2"/>
    <w:rsid w:val="00996A64"/>
    <w:rsid w:val="009C3EFB"/>
    <w:rsid w:val="009C6ACA"/>
    <w:rsid w:val="009D2BC8"/>
    <w:rsid w:val="009D4D56"/>
    <w:rsid w:val="009E2F43"/>
    <w:rsid w:val="009F54AF"/>
    <w:rsid w:val="009F7B8E"/>
    <w:rsid w:val="00A01783"/>
    <w:rsid w:val="00A217AB"/>
    <w:rsid w:val="00A27C04"/>
    <w:rsid w:val="00A808E4"/>
    <w:rsid w:val="00A93C82"/>
    <w:rsid w:val="00AB4745"/>
    <w:rsid w:val="00AD3E21"/>
    <w:rsid w:val="00AF069E"/>
    <w:rsid w:val="00AF6A9F"/>
    <w:rsid w:val="00B02C3C"/>
    <w:rsid w:val="00B17421"/>
    <w:rsid w:val="00B176E4"/>
    <w:rsid w:val="00B65B8E"/>
    <w:rsid w:val="00B667F7"/>
    <w:rsid w:val="00B836BD"/>
    <w:rsid w:val="00B844ED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100D"/>
    <w:rsid w:val="00BF2D1E"/>
    <w:rsid w:val="00BF36C7"/>
    <w:rsid w:val="00BF4A59"/>
    <w:rsid w:val="00C06633"/>
    <w:rsid w:val="00C31201"/>
    <w:rsid w:val="00C57BCC"/>
    <w:rsid w:val="00C60560"/>
    <w:rsid w:val="00C879C2"/>
    <w:rsid w:val="00CB107F"/>
    <w:rsid w:val="00CC74C3"/>
    <w:rsid w:val="00CF1481"/>
    <w:rsid w:val="00D0027A"/>
    <w:rsid w:val="00D1035F"/>
    <w:rsid w:val="00D10B87"/>
    <w:rsid w:val="00D14152"/>
    <w:rsid w:val="00D17034"/>
    <w:rsid w:val="00D32808"/>
    <w:rsid w:val="00D6116E"/>
    <w:rsid w:val="00D73E62"/>
    <w:rsid w:val="00D90BF1"/>
    <w:rsid w:val="00D90CCC"/>
    <w:rsid w:val="00D932FE"/>
    <w:rsid w:val="00D9342D"/>
    <w:rsid w:val="00D9734C"/>
    <w:rsid w:val="00DA13FC"/>
    <w:rsid w:val="00DA3B84"/>
    <w:rsid w:val="00DC6C7E"/>
    <w:rsid w:val="00DD3628"/>
    <w:rsid w:val="00DD5537"/>
    <w:rsid w:val="00DE1E01"/>
    <w:rsid w:val="00DE2F5D"/>
    <w:rsid w:val="00E01BE7"/>
    <w:rsid w:val="00E20821"/>
    <w:rsid w:val="00E429D4"/>
    <w:rsid w:val="00E6467F"/>
    <w:rsid w:val="00E72304"/>
    <w:rsid w:val="00E72E47"/>
    <w:rsid w:val="00E75FD2"/>
    <w:rsid w:val="00E8196D"/>
    <w:rsid w:val="00E931AE"/>
    <w:rsid w:val="00E97E3C"/>
    <w:rsid w:val="00EB0B14"/>
    <w:rsid w:val="00EB27F9"/>
    <w:rsid w:val="00EB47E8"/>
    <w:rsid w:val="00EC114C"/>
    <w:rsid w:val="00ED0B8A"/>
    <w:rsid w:val="00ED4CD7"/>
    <w:rsid w:val="00ED4FEC"/>
    <w:rsid w:val="00EE0874"/>
    <w:rsid w:val="00EE20D2"/>
    <w:rsid w:val="00EF30D3"/>
    <w:rsid w:val="00EF4697"/>
    <w:rsid w:val="00F029FA"/>
    <w:rsid w:val="00F05039"/>
    <w:rsid w:val="00F20885"/>
    <w:rsid w:val="00F21F44"/>
    <w:rsid w:val="00F27A87"/>
    <w:rsid w:val="00F41A7A"/>
    <w:rsid w:val="00F50EF1"/>
    <w:rsid w:val="00F62E62"/>
    <w:rsid w:val="00F76C49"/>
    <w:rsid w:val="00F94D98"/>
    <w:rsid w:val="00FC096B"/>
    <w:rsid w:val="00FC3324"/>
    <w:rsid w:val="00FF0F75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12 b.,Zúžené o ...,Légende.Char Car Car Car Car"/>
    <w:uiPriority w:val="99"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numbering" w:customStyle="1" w:styleId="Seznam-rovovneslovan">
    <w:name w:val="Seznam - úrovňový nečíslovaný"/>
    <w:uiPriority w:val="99"/>
    <w:rsid w:val="002213F5"/>
    <w:pPr>
      <w:numPr>
        <w:numId w:val="15"/>
      </w:numPr>
    </w:pPr>
  </w:style>
  <w:style w:type="paragraph" w:styleId="Revize">
    <w:name w:val="Revision"/>
    <w:hidden/>
    <w:uiPriority w:val="99"/>
    <w:semiHidden/>
    <w:rsid w:val="008943E4"/>
    <w:rPr>
      <w:rFonts w:ascii="Segoe UI" w:hAnsi="Segoe UI"/>
    </w:rPr>
  </w:style>
  <w:style w:type="character" w:styleId="Odkaznakoment">
    <w:name w:val="annotation reference"/>
    <w:basedOn w:val="Standardnpsmoodstavce"/>
    <w:rsid w:val="00FF0F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0F7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FF0F75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F0F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F0F7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1893-C9AB-4025-8D9B-72102323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</Template>
  <TotalTime>3</TotalTime>
  <Pages>5</Pages>
  <Words>1084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Šotola Petr</cp:lastModifiedBy>
  <cp:revision>3</cp:revision>
  <cp:lastPrinted>2009-11-18T11:55:00Z</cp:lastPrinted>
  <dcterms:created xsi:type="dcterms:W3CDTF">2024-06-13T09:30:00Z</dcterms:created>
  <dcterms:modified xsi:type="dcterms:W3CDTF">2024-06-13T09:50:00Z</dcterms:modified>
</cp:coreProperties>
</file>